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599E0" w14:textId="20D7459A" w:rsidR="00444BFC" w:rsidRDefault="00444BFC" w:rsidP="00444BFC">
      <w:pPr>
        <w:spacing w:after="200"/>
        <w:rPr>
          <w:rStyle w:val="Emphasis"/>
          <w:i w:val="0"/>
        </w:rPr>
      </w:pPr>
      <w:r w:rsidRPr="00FC60C3">
        <w:rPr>
          <w:b/>
          <w:lang w:eastAsia="ja-JP"/>
        </w:rPr>
        <w:t>Abstract:</w:t>
      </w:r>
      <w:r w:rsidRPr="00FC60C3">
        <w:rPr>
          <w:b/>
          <w:color w:val="FF0000"/>
          <w:lang w:eastAsia="ja-JP"/>
        </w:rPr>
        <w:t xml:space="preserve"> </w:t>
      </w:r>
      <w:r w:rsidR="00CB76A3" w:rsidRPr="00EF7A21">
        <w:rPr>
          <w:bCs/>
          <w:lang w:eastAsia="ja-JP"/>
        </w:rPr>
        <w:t xml:space="preserve">Business owners </w:t>
      </w:r>
      <w:r w:rsidR="003265B6" w:rsidRPr="00EF7A21">
        <w:rPr>
          <w:bCs/>
          <w:lang w:eastAsia="ja-JP"/>
        </w:rPr>
        <w:t xml:space="preserve">who look </w:t>
      </w:r>
      <w:r w:rsidR="00A8489C">
        <w:rPr>
          <w:bCs/>
          <w:lang w:eastAsia="ja-JP"/>
        </w:rPr>
        <w:t>at</w:t>
      </w:r>
      <w:r w:rsidR="003265B6" w:rsidRPr="00EF7A21">
        <w:rPr>
          <w:bCs/>
          <w:lang w:eastAsia="ja-JP"/>
        </w:rPr>
        <w:t xml:space="preserve"> the</w:t>
      </w:r>
      <w:r w:rsidRPr="00C33A7B">
        <w:rPr>
          <w:rStyle w:val="Strong"/>
          <w:b w:val="0"/>
        </w:rPr>
        <w:t xml:space="preserve"> </w:t>
      </w:r>
      <w:r>
        <w:rPr>
          <w:rStyle w:val="Strong"/>
          <w:b w:val="0"/>
        </w:rPr>
        <w:t>Internal Revenue Code</w:t>
      </w:r>
      <w:r w:rsidR="00E5215B">
        <w:rPr>
          <w:rStyle w:val="Strong"/>
          <w:b w:val="0"/>
        </w:rPr>
        <w:t xml:space="preserve"> </w:t>
      </w:r>
      <w:r w:rsidR="003265B6">
        <w:rPr>
          <w:rStyle w:val="Strong"/>
          <w:b w:val="0"/>
        </w:rPr>
        <w:t>for a list of deductible business expenses may be surprised to find</w:t>
      </w:r>
      <w:r w:rsidR="00DF3719">
        <w:rPr>
          <w:rStyle w:val="Strong"/>
          <w:b w:val="0"/>
        </w:rPr>
        <w:t xml:space="preserve"> that there </w:t>
      </w:r>
      <w:r w:rsidR="00A8489C">
        <w:rPr>
          <w:rStyle w:val="Strong"/>
          <w:b w:val="0"/>
        </w:rPr>
        <w:t>isn’t a</w:t>
      </w:r>
      <w:r w:rsidR="00DF3719">
        <w:rPr>
          <w:rStyle w:val="Strong"/>
          <w:b w:val="0"/>
        </w:rPr>
        <w:t xml:space="preserve"> list of specific deductions. </w:t>
      </w:r>
      <w:r>
        <w:t>For example, the tax law</w:t>
      </w:r>
      <w:r w:rsidRPr="007B2A63">
        <w:t xml:space="preserve"> doesn’t explicitly state that </w:t>
      </w:r>
      <w:r w:rsidR="00D85B6B">
        <w:t>a business</w:t>
      </w:r>
      <w:r w:rsidRPr="007B2A63">
        <w:t xml:space="preserve"> can deduct office supplies and certain other expenses. </w:t>
      </w:r>
      <w:r>
        <w:t>Some expenses</w:t>
      </w:r>
      <w:r w:rsidRPr="007B2A63">
        <w:t xml:space="preserve"> are detailed in the </w:t>
      </w:r>
      <w:r w:rsidR="00C13FF9">
        <w:t>co</w:t>
      </w:r>
      <w:r w:rsidR="0045356E">
        <w:t>de</w:t>
      </w:r>
      <w:r w:rsidR="004776C9">
        <w:t>,</w:t>
      </w:r>
      <w:r w:rsidRPr="007B2A63">
        <w:t xml:space="preserve"> but the general rule is contained in Section 162, which states </w:t>
      </w:r>
      <w:r w:rsidR="002679DB">
        <w:t>a business</w:t>
      </w:r>
      <w:r w:rsidRPr="007B2A63">
        <w:t xml:space="preserve"> can write off </w:t>
      </w:r>
      <w:r w:rsidRPr="007B2A63">
        <w:rPr>
          <w:rStyle w:val="Emphasis"/>
          <w:i w:val="0"/>
        </w:rPr>
        <w:t>“all the ordinary and necessary expenses paid or incurred during the taxable year in carrying on any trade or business.”</w:t>
      </w:r>
    </w:p>
    <w:p w14:paraId="754C4A30" w14:textId="46395A8E" w:rsidR="006B7ED5" w:rsidRPr="00FC60C3" w:rsidRDefault="00FC60C3" w:rsidP="00444BFC">
      <w:pPr>
        <w:spacing w:after="200"/>
        <w:rPr>
          <w:rStyle w:val="Emphasis"/>
          <w:i w:val="0"/>
          <w:sz w:val="20"/>
          <w:szCs w:val="20"/>
        </w:rPr>
      </w:pPr>
      <w:r>
        <w:rPr>
          <w:rStyle w:val="Emphasis"/>
          <w:i w:val="0"/>
          <w:sz w:val="20"/>
          <w:szCs w:val="20"/>
        </w:rPr>
        <w:t xml:space="preserve"> </w:t>
      </w:r>
    </w:p>
    <w:p w14:paraId="45BC28DD" w14:textId="6C7F53E4" w:rsidR="00674745" w:rsidRPr="007B2A63" w:rsidRDefault="007B2A63" w:rsidP="00EB68CB">
      <w:pPr>
        <w:spacing w:after="200"/>
        <w:rPr>
          <w:rStyle w:val="Strong"/>
        </w:rPr>
      </w:pPr>
      <w:r>
        <w:rPr>
          <w:rStyle w:val="Strong"/>
          <w:sz w:val="28"/>
          <w:szCs w:val="28"/>
        </w:rPr>
        <w:t xml:space="preserve">What </w:t>
      </w:r>
      <w:r w:rsidR="00BF3DF0" w:rsidRPr="007B2A63">
        <w:rPr>
          <w:rStyle w:val="Strong"/>
          <w:sz w:val="28"/>
          <w:szCs w:val="28"/>
        </w:rPr>
        <w:t xml:space="preserve">expenses </w:t>
      </w:r>
      <w:r w:rsidR="00DE3353">
        <w:rPr>
          <w:rStyle w:val="Strong"/>
          <w:sz w:val="28"/>
          <w:szCs w:val="28"/>
        </w:rPr>
        <w:t>can’t be written</w:t>
      </w:r>
      <w:r w:rsidR="00BF3DF0" w:rsidRPr="007B2A63">
        <w:rPr>
          <w:rStyle w:val="Strong"/>
          <w:sz w:val="28"/>
          <w:szCs w:val="28"/>
        </w:rPr>
        <w:t xml:space="preserve"> off</w:t>
      </w:r>
      <w:r w:rsidR="00DE3353">
        <w:rPr>
          <w:rStyle w:val="Strong"/>
          <w:sz w:val="28"/>
          <w:szCs w:val="28"/>
        </w:rPr>
        <w:t xml:space="preserve"> by your business</w:t>
      </w:r>
      <w:r w:rsidR="00BF3DF0" w:rsidRPr="007B2A63">
        <w:rPr>
          <w:rStyle w:val="Strong"/>
          <w:sz w:val="28"/>
          <w:szCs w:val="28"/>
        </w:rPr>
        <w:t>?</w:t>
      </w:r>
    </w:p>
    <w:p w14:paraId="353F9362" w14:textId="2E513F5E" w:rsidR="00AC46A4" w:rsidRPr="007B2A63" w:rsidRDefault="00BE0878" w:rsidP="00EB68CB">
      <w:pPr>
        <w:spacing w:after="200"/>
        <w:rPr>
          <w:rStyle w:val="Emphasis"/>
          <w:i w:val="0"/>
        </w:rPr>
      </w:pPr>
      <w:r>
        <w:rPr>
          <w:rStyle w:val="Strong"/>
          <w:b w:val="0"/>
        </w:rPr>
        <w:t xml:space="preserve">If you check the Internal Revenue Code, </w:t>
      </w:r>
      <w:r w:rsidR="00BF3DF0" w:rsidRPr="007B2A63">
        <w:rPr>
          <w:rStyle w:val="Strong"/>
          <w:b w:val="0"/>
        </w:rPr>
        <w:t>you may be surprised to find</w:t>
      </w:r>
      <w:r w:rsidR="00AC46A4" w:rsidRPr="007B2A63">
        <w:rPr>
          <w:rStyle w:val="Strong"/>
          <w:b w:val="0"/>
        </w:rPr>
        <w:t xml:space="preserve"> that most business deductions</w:t>
      </w:r>
      <w:r w:rsidR="00BF3DF0" w:rsidRPr="007B2A63">
        <w:t xml:space="preserve"> aren’t specifically listed</w:t>
      </w:r>
      <w:r w:rsidR="00FE28CB">
        <w:t xml:space="preserve"> there</w:t>
      </w:r>
      <w:r w:rsidR="00AC46A4" w:rsidRPr="007B2A63">
        <w:t xml:space="preserve">. </w:t>
      </w:r>
      <w:r w:rsidR="00EB68CB">
        <w:t>For example, the tax law</w:t>
      </w:r>
      <w:r w:rsidR="00AC46A4" w:rsidRPr="007B2A63">
        <w:t xml:space="preserve"> doesn’t explicitly state that you can </w:t>
      </w:r>
      <w:r w:rsidR="00BF3DF0" w:rsidRPr="007B2A63">
        <w:t xml:space="preserve">deduct </w:t>
      </w:r>
      <w:r w:rsidR="00AC46A4" w:rsidRPr="007B2A63">
        <w:t>office supplies</w:t>
      </w:r>
      <w:r w:rsidR="00BF3DF0" w:rsidRPr="007B2A63">
        <w:t xml:space="preserve"> and certain other expenses</w:t>
      </w:r>
      <w:r w:rsidR="00AC46A4" w:rsidRPr="007B2A63">
        <w:t xml:space="preserve">. </w:t>
      </w:r>
      <w:r w:rsidR="00FE2739">
        <w:t>Some expenses</w:t>
      </w:r>
      <w:r w:rsidR="00AC46A4" w:rsidRPr="007B2A63">
        <w:t xml:space="preserve"> are detailed in the tax code, but the general rule is contained in the first sentence of Section </w:t>
      </w:r>
      <w:r w:rsidR="00BF3DF0" w:rsidRPr="007B2A63">
        <w:t>162, which states you can write off</w:t>
      </w:r>
      <w:r w:rsidR="00AC46A4" w:rsidRPr="007B2A63">
        <w:t xml:space="preserve"> </w:t>
      </w:r>
      <w:r w:rsidR="00AC46A4" w:rsidRPr="007B2A63">
        <w:rPr>
          <w:rStyle w:val="Emphasis"/>
          <w:i w:val="0"/>
        </w:rPr>
        <w:t>“all the ordinary and necessary expenses paid or incurred during the taxable year in carrying on any trade or business.”</w:t>
      </w:r>
    </w:p>
    <w:p w14:paraId="75F72FF2" w14:textId="77777777" w:rsidR="00AC46A4" w:rsidRPr="007B2A63" w:rsidRDefault="008E5F45" w:rsidP="00EB68CB">
      <w:pPr>
        <w:spacing w:after="200"/>
        <w:rPr>
          <w:b/>
        </w:rPr>
      </w:pPr>
      <w:r w:rsidRPr="007B2A63">
        <w:rPr>
          <w:b/>
        </w:rPr>
        <w:t>Basic</w:t>
      </w:r>
      <w:r w:rsidR="00AC46A4" w:rsidRPr="007B2A63">
        <w:rPr>
          <w:b/>
        </w:rPr>
        <w:t xml:space="preserve"> definitions</w:t>
      </w:r>
    </w:p>
    <w:p w14:paraId="26F73DF1" w14:textId="77777777" w:rsidR="00AC46A4" w:rsidRPr="007B2A63" w:rsidRDefault="00AC46A4" w:rsidP="00EB68CB">
      <w:pPr>
        <w:pStyle w:val="NormalWeb"/>
        <w:spacing w:before="0" w:beforeAutospacing="0" w:after="200" w:afterAutospacing="0"/>
      </w:pPr>
      <w:r w:rsidRPr="007B2A63">
        <w:t xml:space="preserve">In general, an expense is </w:t>
      </w:r>
      <w:r w:rsidRPr="001A65A0">
        <w:rPr>
          <w:i/>
        </w:rPr>
        <w:t>ordinary</w:t>
      </w:r>
      <w:r w:rsidRPr="007B2A63">
        <w:t xml:space="preserve"> if it’s considered common or customary in the </w:t>
      </w:r>
      <w:proofErr w:type="gramStart"/>
      <w:r w:rsidRPr="007B2A63">
        <w:t>particular trade</w:t>
      </w:r>
      <w:proofErr w:type="gramEnd"/>
      <w:r w:rsidRPr="007B2A63">
        <w:t xml:space="preserve"> or business. For example, insurance premiums t</w:t>
      </w:r>
      <w:r w:rsidR="00BF3DF0" w:rsidRPr="007B2A63">
        <w:t>o protect a store would be an ordinary business expense in the retail industry</w:t>
      </w:r>
      <w:r w:rsidRPr="007B2A63">
        <w:t xml:space="preserve">. </w:t>
      </w:r>
    </w:p>
    <w:p w14:paraId="425B4548" w14:textId="78CA5E30" w:rsidR="00C821F5" w:rsidRDefault="00AC46A4" w:rsidP="00EB68CB">
      <w:pPr>
        <w:pStyle w:val="NormalWeb"/>
        <w:spacing w:before="0" w:beforeAutospacing="0" w:after="200" w:afterAutospacing="0"/>
      </w:pPr>
      <w:r w:rsidRPr="007B2A63">
        <w:t xml:space="preserve">A </w:t>
      </w:r>
      <w:r w:rsidRPr="001A65A0">
        <w:rPr>
          <w:i/>
        </w:rPr>
        <w:t>necessary</w:t>
      </w:r>
      <w:r w:rsidRPr="007B2A63">
        <w:t xml:space="preserve"> expense is one that’s helpful or appropriate. For example, a car dealership</w:t>
      </w:r>
      <w:r w:rsidR="0049755B">
        <w:t xml:space="preserve"> may</w:t>
      </w:r>
      <w:r w:rsidRPr="007B2A63">
        <w:t xml:space="preserve"> purchase an automatic defibrillator. It</w:t>
      </w:r>
      <w:r w:rsidR="00BA50A2">
        <w:t xml:space="preserve"> </w:t>
      </w:r>
      <w:r w:rsidRPr="007B2A63">
        <w:t>may not be necessary for the</w:t>
      </w:r>
      <w:r w:rsidR="004036F8">
        <w:t xml:space="preserve"> business</w:t>
      </w:r>
      <w:r w:rsidRPr="007B2A63">
        <w:t xml:space="preserve"> operation, but it might be helpful if an employee or customer suffers a heart attack.</w:t>
      </w:r>
      <w:r w:rsidR="00C821F5">
        <w:t xml:space="preserve"> </w:t>
      </w:r>
      <w:r w:rsidRPr="007B2A63">
        <w:t>It</w:t>
      </w:r>
      <w:r w:rsidR="00F82360">
        <w:t>’</w:t>
      </w:r>
      <w:r w:rsidRPr="007B2A63">
        <w:t xml:space="preserve">s possible for an ordinary expense to be </w:t>
      </w:r>
      <w:r w:rsidRPr="001A65A0">
        <w:rPr>
          <w:i/>
        </w:rPr>
        <w:t>un</w:t>
      </w:r>
      <w:r w:rsidRPr="007B2A63">
        <w:t xml:space="preserve">necessary — </w:t>
      </w:r>
      <w:proofErr w:type="gramStart"/>
      <w:r w:rsidRPr="007B2A63">
        <w:t>but,</w:t>
      </w:r>
      <w:proofErr w:type="gramEnd"/>
      <w:r w:rsidRPr="007B2A63">
        <w:t xml:space="preserve"> to be deductible, an expense must be ordinary </w:t>
      </w:r>
      <w:r w:rsidRPr="001A65A0">
        <w:rPr>
          <w:i/>
        </w:rPr>
        <w:t>and</w:t>
      </w:r>
      <w:r w:rsidRPr="007B2A63">
        <w:t xml:space="preserve"> necessary</w:t>
      </w:r>
      <w:r w:rsidR="00BC1076">
        <w:t xml:space="preserve">. </w:t>
      </w:r>
    </w:p>
    <w:p w14:paraId="24E88519" w14:textId="6BC24F55" w:rsidR="00BF3DF0" w:rsidRDefault="0060586E" w:rsidP="00EB68CB">
      <w:pPr>
        <w:pStyle w:val="NormalWeb"/>
        <w:spacing w:before="0" w:beforeAutospacing="0" w:after="200" w:afterAutospacing="0"/>
      </w:pPr>
      <w:r>
        <w:t>A</w:t>
      </w:r>
      <w:r w:rsidR="00AC46A4" w:rsidRPr="007B2A63">
        <w:t xml:space="preserve"> deductible amount must be reasonable in relation to the benefit expected. For example, if you’re attemp</w:t>
      </w:r>
      <w:r w:rsidR="00E84AB4" w:rsidRPr="007B2A63">
        <w:t>ting to land a $3,000 deal, a $6</w:t>
      </w:r>
      <w:r w:rsidR="00AC46A4" w:rsidRPr="007B2A63">
        <w:t>5 lunch with</w:t>
      </w:r>
      <w:r w:rsidR="00BF3DF0" w:rsidRPr="007B2A63">
        <w:t xml:space="preserve"> a potential client should be </w:t>
      </w:r>
      <w:r w:rsidR="00DB04CC">
        <w:t>OK</w:t>
      </w:r>
      <w:r w:rsidR="00AC46A4" w:rsidRPr="007B2A63">
        <w:t xml:space="preserve"> with the IRS. </w:t>
      </w:r>
      <w:r w:rsidR="00E84AB4" w:rsidRPr="007B2A63">
        <w:t>(</w:t>
      </w:r>
      <w:r w:rsidR="00211A56">
        <w:t>T</w:t>
      </w:r>
      <w:r w:rsidR="00E84AB4" w:rsidRPr="007B2A63">
        <w:t>he Tax Cuts and Jobs Act eliminated most deductions for entertainment expenses but retain</w:t>
      </w:r>
      <w:r w:rsidR="004776C9">
        <w:t>ed</w:t>
      </w:r>
      <w:r w:rsidR="00E84AB4" w:rsidRPr="007B2A63">
        <w:t xml:space="preserve"> </w:t>
      </w:r>
      <w:r w:rsidR="006B54B1">
        <w:t>a</w:t>
      </w:r>
      <w:r w:rsidR="00E84AB4" w:rsidRPr="007B2A63">
        <w:t xml:space="preserve"> 50% deduction for business meals.)</w:t>
      </w:r>
    </w:p>
    <w:p w14:paraId="0700EFB8" w14:textId="77777777" w:rsidR="002679DB" w:rsidRPr="002F656C" w:rsidRDefault="002679DB" w:rsidP="002679DB">
      <w:pPr>
        <w:pStyle w:val="NormalWeb"/>
        <w:spacing w:before="0" w:beforeAutospacing="0" w:after="200" w:afterAutospacing="0"/>
        <w:rPr>
          <w:b/>
        </w:rPr>
      </w:pPr>
      <w:r w:rsidRPr="002F656C">
        <w:rPr>
          <w:b/>
        </w:rPr>
        <w:t xml:space="preserve">Proceed with </w:t>
      </w:r>
      <w:proofErr w:type="gramStart"/>
      <w:r w:rsidRPr="002F656C">
        <w:rPr>
          <w:b/>
        </w:rPr>
        <w:t>caution</w:t>
      </w:r>
      <w:proofErr w:type="gramEnd"/>
    </w:p>
    <w:p w14:paraId="49F91E1D" w14:textId="186A5350" w:rsidR="002679DB" w:rsidRPr="004776C9" w:rsidRDefault="002679DB" w:rsidP="00DB7724">
      <w:pPr>
        <w:pStyle w:val="NormalWeb"/>
        <w:spacing w:before="0" w:beforeAutospacing="0" w:after="200" w:afterAutospacing="0"/>
        <w:rPr>
          <w:bCs/>
        </w:rPr>
      </w:pPr>
      <w:r w:rsidRPr="007B2A63">
        <w:t>The deductibility of some expenses is clear</w:t>
      </w:r>
      <w:r>
        <w:t xml:space="preserve">, while others are </w:t>
      </w:r>
      <w:r w:rsidR="009514AD">
        <w:t xml:space="preserve">more </w:t>
      </w:r>
      <w:r>
        <w:t xml:space="preserve">complicated. </w:t>
      </w:r>
      <w:r w:rsidR="005527AA">
        <w:t xml:space="preserve">Keep careful records </w:t>
      </w:r>
      <w:r w:rsidR="00E25FC0">
        <w:t xml:space="preserve">to substantiate expenses you plan to deduct. </w:t>
      </w:r>
      <w:r w:rsidRPr="007B2A63">
        <w:t xml:space="preserve">Generally, if an expense seems like it’s not normal in your industry — or </w:t>
      </w:r>
      <w:r w:rsidR="00512BB6">
        <w:t>could be considered</w:t>
      </w:r>
      <w:r w:rsidR="005527AA">
        <w:t xml:space="preserve"> personal or extravagant</w:t>
      </w:r>
      <w:r w:rsidRPr="007B2A63">
        <w:t xml:space="preserve"> — proceed with caution.</w:t>
      </w:r>
      <w:r w:rsidR="00E25FC0">
        <w:t xml:space="preserve"> Not surprisingly, the IRS and courts don’t always </w:t>
      </w:r>
      <w:r w:rsidR="00A0628C">
        <w:t xml:space="preserve">agree with taxpayers about what is ordinary and necessary. </w:t>
      </w:r>
      <w:r w:rsidR="004776C9">
        <w:t>(</w:t>
      </w:r>
      <w:r w:rsidR="00B82EA9">
        <w:t>See</w:t>
      </w:r>
      <w:r w:rsidR="00DB7724">
        <w:t xml:space="preserve"> examples in</w:t>
      </w:r>
      <w:r w:rsidR="00B82EA9">
        <w:t xml:space="preserve"> “</w:t>
      </w:r>
      <w:r w:rsidR="00CA3BB2" w:rsidRPr="00FC60C3">
        <w:rPr>
          <w:bCs/>
        </w:rPr>
        <w:t>Relevant</w:t>
      </w:r>
      <w:r w:rsidR="00DB7724" w:rsidRPr="00FC60C3">
        <w:rPr>
          <w:bCs/>
        </w:rPr>
        <w:t xml:space="preserve"> </w:t>
      </w:r>
      <w:r w:rsidR="00F67824" w:rsidRPr="00FC60C3">
        <w:rPr>
          <w:bCs/>
        </w:rPr>
        <w:t xml:space="preserve">U.S. Tax Court </w:t>
      </w:r>
      <w:r w:rsidR="004776C9">
        <w:rPr>
          <w:bCs/>
        </w:rPr>
        <w:t>c</w:t>
      </w:r>
      <w:r w:rsidR="00F67824" w:rsidRPr="00FC60C3">
        <w:rPr>
          <w:bCs/>
        </w:rPr>
        <w:t>ases</w:t>
      </w:r>
      <w:r w:rsidR="00DB7724" w:rsidRPr="00FC60C3">
        <w:rPr>
          <w:bCs/>
        </w:rPr>
        <w:t>”</w:t>
      </w:r>
      <w:r w:rsidR="00DB7724">
        <w:rPr>
          <w:b/>
        </w:rPr>
        <w:t xml:space="preserve"> </w:t>
      </w:r>
      <w:r w:rsidR="004776C9">
        <w:rPr>
          <w:bCs/>
        </w:rPr>
        <w:t xml:space="preserve">below.) </w:t>
      </w:r>
      <w:r w:rsidR="006B7ED5">
        <w:t>Contact us with questions about deductibility.</w:t>
      </w:r>
    </w:p>
    <w:p w14:paraId="7505282E" w14:textId="77777777" w:rsidR="002679DB" w:rsidRDefault="002679DB" w:rsidP="002679DB">
      <w:pPr>
        <w:spacing w:after="200"/>
      </w:pPr>
      <w:r>
        <w:t xml:space="preserve"> </w:t>
      </w:r>
    </w:p>
    <w:p w14:paraId="4FB591DC" w14:textId="3AAD718D" w:rsidR="002679DB" w:rsidRDefault="00B40263" w:rsidP="00EB68CB">
      <w:pPr>
        <w:pStyle w:val="NormalWeb"/>
        <w:spacing w:before="0" w:beforeAutospacing="0" w:after="200" w:afterAutospacing="0"/>
        <w:rPr>
          <w:b/>
        </w:rPr>
      </w:pPr>
      <w:r>
        <w:rPr>
          <w:b/>
        </w:rPr>
        <w:t>Sidebar:</w:t>
      </w:r>
    </w:p>
    <w:p w14:paraId="5188D9D7" w14:textId="77777777" w:rsidR="002679DB" w:rsidRDefault="002679DB" w:rsidP="00EB68CB">
      <w:pPr>
        <w:pStyle w:val="NormalWeb"/>
        <w:spacing w:before="0" w:beforeAutospacing="0" w:after="200" w:afterAutospacing="0"/>
        <w:rPr>
          <w:b/>
        </w:rPr>
      </w:pPr>
    </w:p>
    <w:p w14:paraId="45AB7E5D" w14:textId="068C5938" w:rsidR="008E5F45" w:rsidRDefault="00CA3BB2" w:rsidP="007C1EE3">
      <w:pPr>
        <w:pStyle w:val="NormalWeb"/>
        <w:spacing w:before="0" w:beforeAutospacing="0" w:after="200" w:afterAutospacing="0"/>
      </w:pPr>
      <w:r>
        <w:rPr>
          <w:b/>
        </w:rPr>
        <w:t xml:space="preserve">Relevant </w:t>
      </w:r>
      <w:r w:rsidR="00F67824" w:rsidRPr="00A426CE">
        <w:rPr>
          <w:b/>
          <w:bCs/>
        </w:rPr>
        <w:t>U.S. Tax Court cases</w:t>
      </w:r>
    </w:p>
    <w:p w14:paraId="4FE76D17" w14:textId="075F91D6" w:rsidR="00E76F89" w:rsidRPr="007B2A63" w:rsidRDefault="00E76F89" w:rsidP="00CD4745">
      <w:pPr>
        <w:pStyle w:val="NormalWeb"/>
        <w:spacing w:before="0" w:beforeAutospacing="0" w:after="200" w:afterAutospacing="0"/>
      </w:pPr>
      <w:r>
        <w:lastRenderedPageBreak/>
        <w:t>Here are three</w:t>
      </w:r>
      <w:r w:rsidR="003C729C">
        <w:t xml:space="preserve"> </w:t>
      </w:r>
      <w:r w:rsidR="00CA3BB2">
        <w:t xml:space="preserve">recent </w:t>
      </w:r>
      <w:r w:rsidR="00347977">
        <w:t>U.S. Tax C</w:t>
      </w:r>
      <w:r w:rsidR="003C729C">
        <w:t>ourt cases</w:t>
      </w:r>
      <w:r w:rsidR="00C3771A">
        <w:t xml:space="preserve"> </w:t>
      </w:r>
      <w:r w:rsidR="006B7ED5">
        <w:t>in which specific</w:t>
      </w:r>
      <w:r w:rsidR="004776C9">
        <w:t xml:space="preserve"> taxpayer</w:t>
      </w:r>
      <w:r w:rsidR="003C729C">
        <w:t xml:space="preserve"> deductions</w:t>
      </w:r>
      <w:r w:rsidR="006B7ED5">
        <w:t xml:space="preserve"> were disallowed</w:t>
      </w:r>
      <w:r w:rsidR="004776C9">
        <w:t>:</w:t>
      </w:r>
    </w:p>
    <w:p w14:paraId="3C7FF064" w14:textId="3F14A7C4" w:rsidR="00372F43" w:rsidRPr="00372F43" w:rsidRDefault="004B6E60" w:rsidP="004B6E60">
      <w:pPr>
        <w:pStyle w:val="NormalWeb"/>
        <w:numPr>
          <w:ilvl w:val="0"/>
          <w:numId w:val="2"/>
        </w:numPr>
        <w:spacing w:line="270" w:lineRule="atLeast"/>
        <w:rPr>
          <w:color w:val="000000" w:themeColor="text1"/>
        </w:rPr>
      </w:pPr>
      <w:r w:rsidRPr="00372F43">
        <w:rPr>
          <w:color w:val="000000" w:themeColor="text1"/>
        </w:rPr>
        <w:t>A</w:t>
      </w:r>
      <w:r w:rsidR="00B448D8" w:rsidRPr="00372F43">
        <w:rPr>
          <w:color w:val="000000" w:themeColor="text1"/>
        </w:rPr>
        <w:t xml:space="preserve"> married couple owned an engineering firm. </w:t>
      </w:r>
      <w:r w:rsidR="00445E49" w:rsidRPr="00372F43">
        <w:rPr>
          <w:color w:val="000000" w:themeColor="text1"/>
        </w:rPr>
        <w:t>F</w:t>
      </w:r>
      <w:r w:rsidR="00B448D8" w:rsidRPr="00372F43">
        <w:rPr>
          <w:color w:val="000000" w:themeColor="text1"/>
        </w:rPr>
        <w:t>or two tax years, they claimed depreciation of $76,264 on three vehicles, but didn’t provide required details</w:t>
      </w:r>
      <w:r w:rsidR="004776C9">
        <w:rPr>
          <w:color w:val="000000" w:themeColor="text1"/>
        </w:rPr>
        <w:t>,</w:t>
      </w:r>
      <w:r w:rsidR="00B448D8" w:rsidRPr="00372F43">
        <w:rPr>
          <w:color w:val="000000" w:themeColor="text1"/>
        </w:rPr>
        <w:t xml:space="preserve"> including each vehicle’s ownership, </w:t>
      </w:r>
      <w:proofErr w:type="gramStart"/>
      <w:r w:rsidR="00B448D8" w:rsidRPr="00372F43">
        <w:rPr>
          <w:color w:val="000000" w:themeColor="text1"/>
        </w:rPr>
        <w:t>cost</w:t>
      </w:r>
      <w:proofErr w:type="gramEnd"/>
      <w:r w:rsidR="00B448D8" w:rsidRPr="00372F43">
        <w:rPr>
          <w:color w:val="000000" w:themeColor="text1"/>
        </w:rPr>
        <w:t xml:space="preserve"> and useful life. They claimed $34,197 in mileage deductions and provided receipts and mileage logs, but the </w:t>
      </w:r>
      <w:r w:rsidR="00347977">
        <w:rPr>
          <w:color w:val="000000" w:themeColor="text1"/>
        </w:rPr>
        <w:t>c</w:t>
      </w:r>
      <w:r w:rsidR="00B448D8" w:rsidRPr="00372F43">
        <w:rPr>
          <w:color w:val="000000" w:themeColor="text1"/>
        </w:rPr>
        <w:t>ourt found they didn’t show related business purpose</w:t>
      </w:r>
      <w:r w:rsidR="00FD29A3" w:rsidRPr="00372F43">
        <w:rPr>
          <w:color w:val="000000" w:themeColor="text1"/>
        </w:rPr>
        <w:t>s</w:t>
      </w:r>
      <w:r w:rsidR="00B448D8" w:rsidRPr="00372F43">
        <w:rPr>
          <w:color w:val="000000" w:themeColor="text1"/>
        </w:rPr>
        <w:t>. The court also found the mileage claimed included commuting costs</w:t>
      </w:r>
      <w:r w:rsidR="003048AA" w:rsidRPr="00372F43">
        <w:rPr>
          <w:color w:val="000000" w:themeColor="text1"/>
        </w:rPr>
        <w:t>, which can’t be written off</w:t>
      </w:r>
      <w:r w:rsidR="00B448D8" w:rsidRPr="00372F43">
        <w:rPr>
          <w:color w:val="000000" w:themeColor="text1"/>
        </w:rPr>
        <w:t>. The court disallowed these deductions</w:t>
      </w:r>
      <w:r w:rsidR="00810B35" w:rsidRPr="00372F43">
        <w:rPr>
          <w:color w:val="000000" w:themeColor="text1"/>
        </w:rPr>
        <w:t xml:space="preserve"> and </w:t>
      </w:r>
      <w:r w:rsidR="00B448D8" w:rsidRPr="00372F43">
        <w:rPr>
          <w:color w:val="000000" w:themeColor="text1"/>
        </w:rPr>
        <w:t xml:space="preserve">assessed </w:t>
      </w:r>
      <w:r w:rsidRPr="00372F43">
        <w:rPr>
          <w:color w:val="000000" w:themeColor="text1"/>
        </w:rPr>
        <w:t xml:space="preserve">taxes and </w:t>
      </w:r>
      <w:r w:rsidR="00B448D8" w:rsidRPr="00372F43">
        <w:rPr>
          <w:color w:val="000000" w:themeColor="text1"/>
        </w:rPr>
        <w:t xml:space="preserve">penalties. </w:t>
      </w:r>
      <w:r w:rsidR="00DD2FFA">
        <w:rPr>
          <w:color w:val="000000" w:themeColor="text1"/>
        </w:rPr>
        <w:t>(TC Memo 2023-39)</w:t>
      </w:r>
      <w:r w:rsidR="00FE3ECE">
        <w:rPr>
          <w:color w:val="000000" w:themeColor="text1"/>
        </w:rPr>
        <w:br/>
      </w:r>
    </w:p>
    <w:p w14:paraId="20526F44" w14:textId="7820A74D" w:rsidR="00372F43" w:rsidRPr="009356EC" w:rsidRDefault="004B6E60" w:rsidP="00372F43">
      <w:pPr>
        <w:pStyle w:val="NormalWeb"/>
        <w:numPr>
          <w:ilvl w:val="0"/>
          <w:numId w:val="2"/>
        </w:numPr>
        <w:spacing w:line="27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9356EC">
        <w:rPr>
          <w:color w:val="000000" w:themeColor="text1"/>
        </w:rPr>
        <w:t>T</w:t>
      </w:r>
      <w:r w:rsidR="001C5E21" w:rsidRPr="009356EC">
        <w:rPr>
          <w:color w:val="000000" w:themeColor="text1"/>
        </w:rPr>
        <w:t xml:space="preserve">he </w:t>
      </w:r>
      <w:r w:rsidR="00347977">
        <w:rPr>
          <w:color w:val="000000" w:themeColor="text1"/>
        </w:rPr>
        <w:t>c</w:t>
      </w:r>
      <w:r w:rsidR="001C5E21" w:rsidRPr="009356EC">
        <w:rPr>
          <w:color w:val="000000" w:themeColor="text1"/>
        </w:rPr>
        <w:t xml:space="preserve">ourt ruled that a married couple wasn’t entitled to business tax deductions because the husband’s consulting company failed to show that it was engaged in a trade or business. In fact, invoices produced by the consulting company predated its incorporation. And the court ruled </w:t>
      </w:r>
      <w:r w:rsidR="00A91A19" w:rsidRPr="009356EC">
        <w:rPr>
          <w:color w:val="000000" w:themeColor="text1"/>
        </w:rPr>
        <w:t xml:space="preserve">that </w:t>
      </w:r>
      <w:r w:rsidR="001C5E21" w:rsidRPr="009356EC">
        <w:rPr>
          <w:color w:val="000000" w:themeColor="text1"/>
        </w:rPr>
        <w:t xml:space="preserve">even if the expenses were legitimate, they weren’t properly substantiated. </w:t>
      </w:r>
      <w:r w:rsidR="002B57DB">
        <w:rPr>
          <w:color w:val="000000" w:themeColor="text1"/>
        </w:rPr>
        <w:t xml:space="preserve">(TC Memo 2023-80) </w:t>
      </w:r>
      <w:r w:rsidR="00FE3ECE">
        <w:rPr>
          <w:color w:val="000000" w:themeColor="text1"/>
        </w:rPr>
        <w:br/>
      </w:r>
    </w:p>
    <w:p w14:paraId="366A61F0" w14:textId="685FB1CA" w:rsidR="002D26A6" w:rsidRPr="009356EC" w:rsidRDefault="00A91A19" w:rsidP="00372F43">
      <w:pPr>
        <w:pStyle w:val="NormalWeb"/>
        <w:numPr>
          <w:ilvl w:val="0"/>
          <w:numId w:val="2"/>
        </w:numPr>
        <w:spacing w:line="270" w:lineRule="atLeast"/>
        <w:rPr>
          <w:color w:val="000000" w:themeColor="text1"/>
        </w:rPr>
      </w:pPr>
      <w:r w:rsidRPr="009356EC">
        <w:rPr>
          <w:color w:val="000000" w:themeColor="text1"/>
        </w:rPr>
        <w:t>A</w:t>
      </w:r>
      <w:r w:rsidR="002D26A6" w:rsidRPr="009356EC">
        <w:rPr>
          <w:color w:val="000000" w:themeColor="text1"/>
        </w:rPr>
        <w:t xml:space="preserve"> physician specializing in gene therapy deducted legal expenses of $360,295 for two years on Schedule C </w:t>
      </w:r>
      <w:r w:rsidR="00F852BA">
        <w:rPr>
          <w:color w:val="000000" w:themeColor="text1"/>
        </w:rPr>
        <w:t xml:space="preserve">of </w:t>
      </w:r>
      <w:r w:rsidR="00F526BB">
        <w:rPr>
          <w:color w:val="000000" w:themeColor="text1"/>
        </w:rPr>
        <w:t xml:space="preserve">his </w:t>
      </w:r>
      <w:r w:rsidR="00F852BA">
        <w:rPr>
          <w:color w:val="000000" w:themeColor="text1"/>
        </w:rPr>
        <w:t xml:space="preserve">joint </w:t>
      </w:r>
      <w:r w:rsidR="00347977">
        <w:rPr>
          <w:color w:val="000000" w:themeColor="text1"/>
        </w:rPr>
        <w:t xml:space="preserve">tax </w:t>
      </w:r>
      <w:r w:rsidR="002D26A6" w:rsidRPr="009356EC">
        <w:rPr>
          <w:color w:val="000000" w:themeColor="text1"/>
        </w:rPr>
        <w:t xml:space="preserve">returns. The </w:t>
      </w:r>
      <w:r w:rsidR="00F526BB">
        <w:rPr>
          <w:color w:val="000000" w:themeColor="text1"/>
        </w:rPr>
        <w:t>c</w:t>
      </w:r>
      <w:r w:rsidR="002D26A6" w:rsidRPr="009356EC">
        <w:rPr>
          <w:color w:val="000000" w:themeColor="text1"/>
        </w:rPr>
        <w:t>ourt found that most of the legal fees were to defend the husband against personal conduct issues. The court denied the deduction for personal legal expenses but allowed a deduction for $13,000 for business-related legal expenses.</w:t>
      </w:r>
      <w:r w:rsidR="00652AB5" w:rsidRPr="009356EC">
        <w:rPr>
          <w:color w:val="000000" w:themeColor="text1"/>
        </w:rPr>
        <w:t xml:space="preserve"> </w:t>
      </w:r>
      <w:r w:rsidR="002B57DB">
        <w:rPr>
          <w:color w:val="000000" w:themeColor="text1"/>
        </w:rPr>
        <w:t>(TC Memo 2023-42)</w:t>
      </w:r>
    </w:p>
    <w:p w14:paraId="271CBF09" w14:textId="7E5617AE" w:rsidR="00E816D3" w:rsidRPr="009B1C73" w:rsidRDefault="00E816D3" w:rsidP="00444BFC">
      <w:pPr>
        <w:spacing w:after="200"/>
      </w:pPr>
    </w:p>
    <w:sectPr w:rsidR="00E816D3" w:rsidRPr="009B1C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13D8D"/>
    <w:multiLevelType w:val="hybridMultilevel"/>
    <w:tmpl w:val="69067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53077"/>
    <w:multiLevelType w:val="hybridMultilevel"/>
    <w:tmpl w:val="3B78E50A"/>
    <w:lvl w:ilvl="0" w:tplc="9B9296AE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B34B3D"/>
    <w:multiLevelType w:val="hybridMultilevel"/>
    <w:tmpl w:val="8DFA2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303326">
    <w:abstractNumId w:val="2"/>
  </w:num>
  <w:num w:numId="2" w16cid:durableId="1781292532">
    <w:abstractNumId w:val="0"/>
  </w:num>
  <w:num w:numId="3" w16cid:durableId="291979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8F6"/>
    <w:rsid w:val="00031FA8"/>
    <w:rsid w:val="00051A7E"/>
    <w:rsid w:val="00076478"/>
    <w:rsid w:val="000A5237"/>
    <w:rsid w:val="000D1A9F"/>
    <w:rsid w:val="0010589C"/>
    <w:rsid w:val="00152337"/>
    <w:rsid w:val="001A65A0"/>
    <w:rsid w:val="001C5E21"/>
    <w:rsid w:val="001C698F"/>
    <w:rsid w:val="00211A56"/>
    <w:rsid w:val="00250C55"/>
    <w:rsid w:val="0026386B"/>
    <w:rsid w:val="002678F9"/>
    <w:rsid w:val="002679DB"/>
    <w:rsid w:val="0028189B"/>
    <w:rsid w:val="002B57DB"/>
    <w:rsid w:val="002B611C"/>
    <w:rsid w:val="002C4246"/>
    <w:rsid w:val="002D26A6"/>
    <w:rsid w:val="002F656C"/>
    <w:rsid w:val="003048AA"/>
    <w:rsid w:val="003265B6"/>
    <w:rsid w:val="00347977"/>
    <w:rsid w:val="00372F43"/>
    <w:rsid w:val="00386DCA"/>
    <w:rsid w:val="003879A8"/>
    <w:rsid w:val="003B09F8"/>
    <w:rsid w:val="003B1DAF"/>
    <w:rsid w:val="003B3E2C"/>
    <w:rsid w:val="003C1DAC"/>
    <w:rsid w:val="003C729C"/>
    <w:rsid w:val="003D0B4E"/>
    <w:rsid w:val="003E1964"/>
    <w:rsid w:val="004036F8"/>
    <w:rsid w:val="00444BFC"/>
    <w:rsid w:val="00445E49"/>
    <w:rsid w:val="00446385"/>
    <w:rsid w:val="0045356E"/>
    <w:rsid w:val="004776C9"/>
    <w:rsid w:val="0049755B"/>
    <w:rsid w:val="004A0824"/>
    <w:rsid w:val="004B2536"/>
    <w:rsid w:val="004B6E60"/>
    <w:rsid w:val="004C5D07"/>
    <w:rsid w:val="00512BB6"/>
    <w:rsid w:val="00523C5E"/>
    <w:rsid w:val="005527AA"/>
    <w:rsid w:val="005A6E0A"/>
    <w:rsid w:val="005D34AB"/>
    <w:rsid w:val="005F084D"/>
    <w:rsid w:val="005F54D5"/>
    <w:rsid w:val="0060586E"/>
    <w:rsid w:val="006136A0"/>
    <w:rsid w:val="006255B1"/>
    <w:rsid w:val="006321F8"/>
    <w:rsid w:val="00652AB5"/>
    <w:rsid w:val="00672FFA"/>
    <w:rsid w:val="006735D5"/>
    <w:rsid w:val="00674745"/>
    <w:rsid w:val="006B54B1"/>
    <w:rsid w:val="006B7ED5"/>
    <w:rsid w:val="00753A81"/>
    <w:rsid w:val="0075733F"/>
    <w:rsid w:val="007B2A63"/>
    <w:rsid w:val="007C1EE3"/>
    <w:rsid w:val="007D4529"/>
    <w:rsid w:val="00810B35"/>
    <w:rsid w:val="00860329"/>
    <w:rsid w:val="008E5F45"/>
    <w:rsid w:val="008F01A5"/>
    <w:rsid w:val="0091231C"/>
    <w:rsid w:val="00921FE3"/>
    <w:rsid w:val="009356EC"/>
    <w:rsid w:val="009514AD"/>
    <w:rsid w:val="00985D94"/>
    <w:rsid w:val="009B0CC4"/>
    <w:rsid w:val="009B1C73"/>
    <w:rsid w:val="009D22C8"/>
    <w:rsid w:val="00A0628C"/>
    <w:rsid w:val="00A20372"/>
    <w:rsid w:val="00A30E06"/>
    <w:rsid w:val="00A354C1"/>
    <w:rsid w:val="00A426CE"/>
    <w:rsid w:val="00A8489C"/>
    <w:rsid w:val="00A91A19"/>
    <w:rsid w:val="00A958E5"/>
    <w:rsid w:val="00AB307A"/>
    <w:rsid w:val="00AC46A4"/>
    <w:rsid w:val="00B1268E"/>
    <w:rsid w:val="00B25354"/>
    <w:rsid w:val="00B2642F"/>
    <w:rsid w:val="00B40263"/>
    <w:rsid w:val="00B448D8"/>
    <w:rsid w:val="00B74C6F"/>
    <w:rsid w:val="00B82EA9"/>
    <w:rsid w:val="00B90BB1"/>
    <w:rsid w:val="00BA50A2"/>
    <w:rsid w:val="00BB6D19"/>
    <w:rsid w:val="00BB79F7"/>
    <w:rsid w:val="00BC1076"/>
    <w:rsid w:val="00BC7862"/>
    <w:rsid w:val="00BE0878"/>
    <w:rsid w:val="00BE6FAD"/>
    <w:rsid w:val="00BF3B54"/>
    <w:rsid w:val="00BF3DF0"/>
    <w:rsid w:val="00C00EC2"/>
    <w:rsid w:val="00C13FF9"/>
    <w:rsid w:val="00C33A7B"/>
    <w:rsid w:val="00C3771A"/>
    <w:rsid w:val="00C821F5"/>
    <w:rsid w:val="00CA3BB2"/>
    <w:rsid w:val="00CB76A3"/>
    <w:rsid w:val="00CD4745"/>
    <w:rsid w:val="00CE202D"/>
    <w:rsid w:val="00CF2073"/>
    <w:rsid w:val="00D26074"/>
    <w:rsid w:val="00D35C0C"/>
    <w:rsid w:val="00D450DE"/>
    <w:rsid w:val="00D5780A"/>
    <w:rsid w:val="00D805DD"/>
    <w:rsid w:val="00D85B6B"/>
    <w:rsid w:val="00DB04CC"/>
    <w:rsid w:val="00DB59AC"/>
    <w:rsid w:val="00DB7724"/>
    <w:rsid w:val="00DD2FFA"/>
    <w:rsid w:val="00DE3353"/>
    <w:rsid w:val="00DF3719"/>
    <w:rsid w:val="00E018F6"/>
    <w:rsid w:val="00E237EE"/>
    <w:rsid w:val="00E2387E"/>
    <w:rsid w:val="00E25FC0"/>
    <w:rsid w:val="00E47FAB"/>
    <w:rsid w:val="00E5215B"/>
    <w:rsid w:val="00E76F89"/>
    <w:rsid w:val="00E816D3"/>
    <w:rsid w:val="00E84AB4"/>
    <w:rsid w:val="00EA62CF"/>
    <w:rsid w:val="00EB68CB"/>
    <w:rsid w:val="00EC1D2E"/>
    <w:rsid w:val="00EC3B85"/>
    <w:rsid w:val="00ED3D71"/>
    <w:rsid w:val="00EF3FAB"/>
    <w:rsid w:val="00EF7A21"/>
    <w:rsid w:val="00F26C2C"/>
    <w:rsid w:val="00F526BB"/>
    <w:rsid w:val="00F67824"/>
    <w:rsid w:val="00F82360"/>
    <w:rsid w:val="00F852BA"/>
    <w:rsid w:val="00FC60C3"/>
    <w:rsid w:val="00FD29A3"/>
    <w:rsid w:val="00FE2739"/>
    <w:rsid w:val="00FE28CB"/>
    <w:rsid w:val="00FE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262A3"/>
  <w15:chartTrackingRefBased/>
  <w15:docId w15:val="{39E394D3-CBA0-46D7-9401-205567C6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18F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018F6"/>
    <w:rPr>
      <w:b/>
      <w:bCs/>
    </w:rPr>
  </w:style>
  <w:style w:type="character" w:styleId="Emphasis">
    <w:name w:val="Emphasis"/>
    <w:basedOn w:val="DefaultParagraphFont"/>
    <w:uiPriority w:val="20"/>
    <w:qFormat/>
    <w:rsid w:val="00E018F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3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360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A6E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6E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6E0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E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E0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6E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E0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A6E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90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5C152744A1F4A88D8EEA7FC47D8FC" ma:contentTypeVersion="15" ma:contentTypeDescription="Create a new document." ma:contentTypeScope="" ma:versionID="bf285c3d23c22de829f1f68d0cc082c3">
  <xsd:schema xmlns:xsd="http://www.w3.org/2001/XMLSchema" xmlns:xs="http://www.w3.org/2001/XMLSchema" xmlns:p="http://schemas.microsoft.com/office/2006/metadata/properties" xmlns:ns2="bfcb7a82-764f-4ec6-a61f-4122cf2412d2" xmlns:ns3="d42b41b2-081e-43e3-9bc5-78d8f04b87bf" targetNamespace="http://schemas.microsoft.com/office/2006/metadata/properties" ma:root="true" ma:fieldsID="6e6409157e858bf532f4e37c390092b2" ns2:_="" ns3:_="">
    <xsd:import namespace="bfcb7a82-764f-4ec6-a61f-4122cf2412d2"/>
    <xsd:import namespace="d42b41b2-081e-43e3-9bc5-78d8f04b8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b7a82-764f-4ec6-a61f-4122cf241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1e41fc-fdfe-41db-afd2-6d041df15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b41b2-081e-43e3-9bc5-78d8f04b87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6dacbc-2031-4354-8415-32c1a5072161}" ma:internalName="TaxCatchAll" ma:showField="CatchAllData" ma:web="d42b41b2-081e-43e3-9bc5-78d8f04b8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b7a82-764f-4ec6-a61f-4122cf2412d2">
      <Terms xmlns="http://schemas.microsoft.com/office/infopath/2007/PartnerControls"/>
    </lcf76f155ced4ddcb4097134ff3c332f>
    <TaxCatchAll xmlns="d42b41b2-081e-43e3-9bc5-78d8f04b87bf" xsi:nil="true"/>
  </documentManagement>
</p:properties>
</file>

<file path=customXml/itemProps1.xml><?xml version="1.0" encoding="utf-8"?>
<ds:datastoreItem xmlns:ds="http://schemas.openxmlformats.org/officeDocument/2006/customXml" ds:itemID="{AB16505B-C518-4D28-95C7-EDA0525FC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b7a82-764f-4ec6-a61f-4122cf2412d2"/>
    <ds:schemaRef ds:uri="d42b41b2-081e-43e3-9bc5-78d8f04b8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FE7C95-B988-4DAE-BB72-6DB5F09CE6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843222-DCCD-46C3-96F7-68E9BB5699B7}">
  <ds:schemaRefs>
    <ds:schemaRef ds:uri="http://schemas.microsoft.com/office/2006/metadata/properties"/>
    <ds:schemaRef ds:uri="http://schemas.microsoft.com/office/infopath/2007/PartnerControls"/>
    <ds:schemaRef ds:uri="bfcb7a82-764f-4ec6-a61f-4122cf2412d2"/>
    <ds:schemaRef ds:uri="d42b41b2-081e-43e3-9bc5-78d8f04b87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Katz, Ellen M. (Tax)</dc:creator>
  <cp:keywords/>
  <dc:description/>
  <cp:lastModifiedBy>Antonio Marquez</cp:lastModifiedBy>
  <cp:revision>7</cp:revision>
  <dcterms:created xsi:type="dcterms:W3CDTF">2024-04-22T22:46:00Z</dcterms:created>
  <dcterms:modified xsi:type="dcterms:W3CDTF">2024-04-25T21:24:00Z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0x01010007C5C152744A1F4A88D8EEA7FC47D8FC</vt:lpwstr>
  </property>
  <property fmtid="{D5CDD505-2E9C-101B-9397-08002B2CF9AE}" pid="3" name="Order">
    <vt:r8>7700</vt:r8>
  </property>
  <property fmtid="{D5CDD505-2E9C-101B-9397-08002B2CF9AE}" pid="4" name="MediaServiceImageTags">
    <vt:lpwstr/>
  </property>
</Properties>
</file>